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8B" w:rsidRDefault="00A71A7A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трудового законодательства с 2022 года</w:t>
      </w:r>
    </w:p>
    <w:p w:rsidR="003E498B" w:rsidRDefault="003E498B" w:rsidP="003E49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                                                               </w:t>
      </w:r>
      <w:r>
        <w:rPr>
          <w:rFonts w:ascii="Arial" w:eastAsiaTheme="minorHAnsi" w:hAnsi="Arial" w:cs="Arial"/>
          <w:color w:val="auto"/>
          <w:sz w:val="20"/>
          <w:szCs w:val="20"/>
        </w:rPr>
        <w:t>ОХРАНА ТРУДА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Вступают в силу многочисленные изменения в Трудовой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РФ, направленные на предупреждение производственного травматизма и профессиональной заболеваемости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Закреплено, что работодатель имеет право: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требовать от работников исполнения ими требований охраны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rPr>
          <w:rFonts w:ascii="Arial" w:hAnsi="Arial" w:cs="Arial"/>
          <w:sz w:val="20"/>
          <w:szCs w:val="20"/>
        </w:rPr>
        <w:t>самообследование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Работодатель обязан отстранить от работы (не допускать к работе) работника, не применяющего выданные ему в установленном порядке СИЗ.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Уточняется, что на время прохождения медицинского осмотра и (или) обязательного психиатрического освидетельствования за работниками, обязанными проходить такие осмотр и (или) освидетельствование, сохраняются место работы (должность) и средний заработок по месту работы.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Расширяется понятийный аппарат в сфере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Закреплены основные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принципы</w:t>
        </w:r>
      </w:hyperlink>
      <w:r>
        <w:rPr>
          <w:rFonts w:ascii="Arial" w:hAnsi="Arial" w:cs="Arial"/>
          <w:sz w:val="20"/>
          <w:szCs w:val="20"/>
        </w:rPr>
        <w:t xml:space="preserve"> обеспечения безопасности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Определены полномочия Правительства РФ, федеральных органов исполнительной власти и органов исполнительной власти субъектов РФ в области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содействия соблюдению правил по охране труда будут разрабатываться национальные стандарты безопасности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Вводятся положения о государственной экспертизе условий труда и соответствии зданий, сооружений, оборудования, технологических процессов и материалов государственным нормативным требованиям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Определены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обязанности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права</w:t>
        </w:r>
      </w:hyperlink>
      <w:r>
        <w:rPr>
          <w:rFonts w:ascii="Arial" w:hAnsi="Arial" w:cs="Arial"/>
          <w:sz w:val="20"/>
          <w:szCs w:val="20"/>
        </w:rPr>
        <w:t xml:space="preserve"> работодателя,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обязанности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права</w:t>
        </w:r>
      </w:hyperlink>
      <w:r>
        <w:rPr>
          <w:rFonts w:ascii="Arial" w:hAnsi="Arial" w:cs="Arial"/>
          <w:sz w:val="20"/>
          <w:szCs w:val="20"/>
        </w:rPr>
        <w:t xml:space="preserve"> работника в области охраны труда. Вводится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запрет</w:t>
        </w:r>
      </w:hyperlink>
      <w:r>
        <w:rPr>
          <w:rFonts w:ascii="Arial" w:hAnsi="Arial" w:cs="Arial"/>
          <w:sz w:val="20"/>
          <w:szCs w:val="20"/>
        </w:rPr>
        <w:t xml:space="preserve"> на работу в опасных условиях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Закреплены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гарантии</w:t>
        </w:r>
      </w:hyperlink>
      <w:r>
        <w:rPr>
          <w:rFonts w:ascii="Arial" w:hAnsi="Arial" w:cs="Arial"/>
          <w:sz w:val="20"/>
          <w:szCs w:val="20"/>
        </w:rPr>
        <w:t xml:space="preserve"> права работников на труд в условиях, соответствующих требованиям охраны труда, а также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право</w:t>
        </w:r>
      </w:hyperlink>
      <w:r>
        <w:rPr>
          <w:rFonts w:ascii="Arial" w:hAnsi="Arial" w:cs="Arial"/>
          <w:sz w:val="20"/>
          <w:szCs w:val="20"/>
        </w:rPr>
        <w:t xml:space="preserve"> работника на получение информации об условиях и охране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Ряд положений касается системы управления охраной труда, под которой понимается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Работодатель обязан обеспечить создание и функционирование системы управления охраной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вводится обязанность учета микротравм (ссадин, кровоподтеков, ушибов мягких тканей, поверхностных ран и других повреждений), полученных работниками и другими лицами, участвующими в производственной деятельности работодателя.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обеспечения работников </w:t>
      </w:r>
      <w:proofErr w:type="gramStart"/>
      <w:r>
        <w:rPr>
          <w:rFonts w:ascii="Arial" w:hAnsi="Arial" w:cs="Arial"/>
          <w:sz w:val="20"/>
          <w:szCs w:val="20"/>
        </w:rPr>
        <w:t>СИЗ</w:t>
      </w:r>
      <w:proofErr w:type="gramEnd"/>
      <w:r>
        <w:rPr>
          <w:rFonts w:ascii="Arial" w:hAnsi="Arial" w:cs="Arial"/>
          <w:sz w:val="20"/>
          <w:szCs w:val="20"/>
        </w:rPr>
        <w:t>, а также смывающими средствами работодатели вправе использовать типовые нормы, изданные в установленном порядке до 1 марта 2022 года, но не позднее 31 декабря 2024 года.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02.07.2021 N 311-ФЗ;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04.12.2021 N 3455-р)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Актуализировано </w:t>
      </w:r>
      <w:hyperlink r:id="rId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примерное положение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системе управления охраной труда (СУОТ)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</w:t>
      </w:r>
      <w:proofErr w:type="gramEnd"/>
      <w:r>
        <w:rPr>
          <w:rFonts w:ascii="Arial" w:hAnsi="Arial" w:cs="Arial"/>
          <w:sz w:val="20"/>
          <w:szCs w:val="20"/>
        </w:rPr>
        <w:t xml:space="preserve">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регулярного (не реже одного раза в год)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документов, представляемых перед допуском к работам и правила организации таких работ.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состава соблюдаемых работодателем норм примерного положения и их полноты учитываются наличие у работодателя рабочих ме</w:t>
      </w:r>
      <w:proofErr w:type="gramStart"/>
      <w:r>
        <w:rPr>
          <w:rFonts w:ascii="Arial" w:hAnsi="Arial" w:cs="Arial"/>
          <w:sz w:val="20"/>
          <w:szCs w:val="20"/>
        </w:rPr>
        <w:t>ст с вр</w:t>
      </w:r>
      <w:proofErr w:type="gramEnd"/>
      <w:r>
        <w:rPr>
          <w:rFonts w:ascii="Arial" w:hAnsi="Arial" w:cs="Arial"/>
          <w:sz w:val="20"/>
          <w:szCs w:val="20"/>
        </w:rPr>
        <w:t xml:space="preserve">едными и/или опасными условиями труда, производственных процессов, содержащих опасности </w:t>
      </w:r>
      <w:proofErr w:type="spellStart"/>
      <w:r>
        <w:rPr>
          <w:rFonts w:ascii="Arial" w:hAnsi="Arial" w:cs="Arial"/>
          <w:sz w:val="20"/>
          <w:szCs w:val="20"/>
        </w:rPr>
        <w:t>травмирования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числе прочего приводятся примерный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опасностей и мер по управлению ими в рамках СУОТ и примерный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работ повышенной опасности, к которым предъявляются отдельные требования по организации работ и обучению работников.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аналогичный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19.08.2016 N 438н.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776н)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Обновлены </w:t>
      </w:r>
      <w:hyperlink r:id="rId2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проведения государственной экспертизы условий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экспертиза условий труда теперь может осуществляться на основании обращений комиссий по расследованию несчастных случаев и заключений Минтруда России о рассмотрении несогласия с заключением </w:t>
      </w:r>
      <w:proofErr w:type="gramStart"/>
      <w:r>
        <w:rPr>
          <w:rFonts w:ascii="Arial" w:hAnsi="Arial" w:cs="Arial"/>
          <w:sz w:val="20"/>
          <w:szCs w:val="20"/>
        </w:rPr>
        <w:t>экспертизы качества специальной оценки условий труда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Объектом проведения государственной экспертизы условий труда является рабочее место (рабочие места).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экспертиза условий труда не проводится: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непредставлении заявителем в случае, если заявителем является организация, проводящая специальную оценку условий труда, копий документов, подтверждающих ее соответствие установленным требованиям;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отсутствии (непредставлении) отчета и отсутствии сведений об отчете во ФГИС СОУТ.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указании в подаваемых документах ненадлежащей цели проведения государственной экспертизы, а также при обращении не ненадлежащих заявителей;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при отсутствии сведений об отчете во ФГИС СОУТ ввиду ликвидации юридического лица или прекращения ИП своей деятельности;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непредставления судебным органом имеющихся у него материалов позволяющих обеспечить проведение государственной экспертизы условий труда в установленные сроки;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случае отсутствия в документах и материалах, прилагаемых к представлению государственной инспекции труда, представлению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его территориальных органов акта проверки или иных документов по результатам проведения контрольных (надзорных) мероприятий, подтверждающих обоснованность изложенной в представлении информации.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Приводятся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документов, прилагаемых или являющихся частью отчета о результатах проведения специальной оценки условий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примерный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дополнительных документов, представляемых на государственную экспертизу условий труда, которые при необходимости дополнительно запрашиваются органом государственной экспертизы условий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12.08.2014 N 549н.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775н)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Определены формы (способы) информирования работников об их трудовых правах, включая право на безопасные условия и охрану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формам (способам) информирования с использованием визуальной/печатной информации отнесены: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ознакомление работников с результатами специальной оценки условий труда на их рабочих местах;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ознакомление с информацией о существующих профессиональных рисках и их уровнях;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ознакомление работника с требованиями должностной инструкции, инструкций по охране труда (с визуализацией при необходимости опасных зон (участков) оборудования), перечнем выдаваемых на рабочем месте СИЗ, требованиями правил по охране труда и других локальных нормативных актов работодателя (такое ознакомление осуществляется под роспись работника, а при наличии у работодателя электронного документооборота ознакомление допускается осуществлять в электронной </w:t>
      </w:r>
      <w:proofErr w:type="gramStart"/>
      <w:r>
        <w:rPr>
          <w:rFonts w:ascii="Arial" w:hAnsi="Arial" w:cs="Arial"/>
          <w:sz w:val="20"/>
          <w:szCs w:val="20"/>
        </w:rPr>
        <w:t>форме</w:t>
      </w:r>
      <w:proofErr w:type="gramEnd"/>
      <w:r>
        <w:rPr>
          <w:rFonts w:ascii="Arial" w:hAnsi="Arial" w:cs="Arial"/>
          <w:sz w:val="20"/>
          <w:szCs w:val="20"/>
        </w:rPr>
        <w:t xml:space="preserve"> с учетом установленных для электронного документооборота требований);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иные дополнительные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(способы) в зависимости от финансовых возможностей работодателя.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в зависимости от своих финансовых возможностей работодатели могут применять формы (способы) информирования с использованием видеоматериалов и </w:t>
      </w:r>
      <w:proofErr w:type="spellStart"/>
      <w:r>
        <w:rPr>
          <w:rFonts w:ascii="Arial" w:hAnsi="Arial" w:cs="Arial"/>
          <w:sz w:val="20"/>
          <w:szCs w:val="20"/>
        </w:rPr>
        <w:t>интернет-ресурсов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773н)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Актуализировано примерное </w:t>
      </w:r>
      <w:hyperlink r:id="rId2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комитете (комиссии) по охране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Новое положение учитывает изменения, внесенные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02.07.2021 N 311-ФЗ "О внесении изменений в Трудовой кодекс Российской Федерации".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аналогичный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24.06.2014 N 412н.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22.09.2021 N 650н)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Обновлен </w:t>
      </w:r>
      <w:hyperlink r:id="rId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примерный 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частности, в перечень теперь включено проведение </w:t>
      </w:r>
      <w:proofErr w:type="gramStart"/>
      <w:r>
        <w:rPr>
          <w:rFonts w:ascii="Arial" w:hAnsi="Arial" w:cs="Arial"/>
          <w:sz w:val="20"/>
          <w:szCs w:val="20"/>
        </w:rPr>
        <w:t>обучения по использованию</w:t>
      </w:r>
      <w:proofErr w:type="gramEnd"/>
      <w:r>
        <w:rPr>
          <w:rFonts w:ascii="Arial" w:hAnsi="Arial" w:cs="Arial"/>
          <w:sz w:val="20"/>
          <w:szCs w:val="20"/>
        </w:rPr>
        <w:t xml:space="preserve"> (применению) средств индивидуальной защиты.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аналогичный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01.03.2012 N 181н.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771н)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Вводится </w:t>
      </w:r>
      <w:hyperlink r:id="rId3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примерный 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перечень включены организационные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, технические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средствами индивидуальной защиты, а также лечебно-профилактические и санитарно-бытовые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22.09.2021 N 656н)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Внесены изменения в </w:t>
      </w:r>
      <w:hyperlink r:id="rId4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Конкретизированы работы, поименованные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пунктах 19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 перечня, посредством указания конкретных профессий.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Одновременно из перечня исключены работы, выполняемые 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(вертолетов).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13.05.2021 N 313н)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Определены предельно допустимые </w:t>
      </w:r>
      <w:hyperlink r:id="rId4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нагрузок для женщин при подъеме и перемещении тяжестей вручную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РФ от 06.02.1993 N 105 "О новых нормах предельно допустимых нагрузок для женщин при подъеме и перемещении тяжестей вручную".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Одновременно указанное Постановление исключено из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>
        <w:rPr>
          <w:rFonts w:ascii="Arial" w:hAnsi="Arial" w:cs="Arial"/>
          <w:sz w:val="20"/>
          <w:szCs w:val="20"/>
        </w:rPr>
        <w:t xml:space="preserve"> актов, на которые не распространяется механизм "регуляторной гильотины".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28.01.2022 N 63;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14.09.2021 N 629н)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Актуализированы </w:t>
      </w:r>
      <w:hyperlink r:id="rId5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5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подачи декларации соответствия условий труда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государственным нормативным требованиям охраны труда, а также </w:t>
      </w:r>
      <w:hyperlink r:id="rId5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Изменения направлены на реализацию положений Федерального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30.12.2020 N 503-ФЗ "О внесении изменений в статьи 8 и 11 Федерального закона "О специальной оценке условий труда", которым закреплен бессрочный статус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месте.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из сведений, включаемых в реестр, исключены сведения о сроке действия декларации.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Уточняется, что декларация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местах, в отношении которых подается декларация.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07.02.2014 N 80н.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17.06.2021 N 406н)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3E498B" w:rsidTr="003E49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Определены общие </w:t>
      </w:r>
      <w:hyperlink r:id="rId5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к организации безопасного рабочего места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rPr>
          <w:rFonts w:ascii="Arial" w:hAnsi="Arial" w:cs="Arial"/>
          <w:sz w:val="20"/>
          <w:szCs w:val="20"/>
        </w:rPr>
        <w:t>здоровья</w:t>
      </w:r>
      <w:proofErr w:type="gramEnd"/>
      <w:r>
        <w:rPr>
          <w:rFonts w:ascii="Arial" w:hAnsi="Arial" w:cs="Arial"/>
          <w:sz w:val="20"/>
          <w:szCs w:val="20"/>
        </w:rP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Приводятся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организации рабочего места и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безопасному содержанию рабочего места.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774н)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Вводятся в действие основные </w:t>
      </w:r>
      <w:hyperlink r:id="rId6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к порядку разработки и содержанию правил и инструкций по охране труда, разрабатываемых работодателем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Работодатель в зависимости от специфики своей деятельности и </w:t>
      </w:r>
      <w:proofErr w:type="gramStart"/>
      <w:r>
        <w:rPr>
          <w:rFonts w:ascii="Arial" w:hAnsi="Arial" w:cs="Arial"/>
          <w:sz w:val="20"/>
          <w:szCs w:val="20"/>
        </w:rPr>
        <w:t>исходя из оценки уровней профессиональных рисков вправе устанавливать</w:t>
      </w:r>
      <w:proofErr w:type="gramEnd"/>
      <w:r>
        <w:rPr>
          <w:rFonts w:ascii="Arial" w:hAnsi="Arial" w:cs="Arial"/>
          <w:sz w:val="20"/>
          <w:szCs w:val="20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Приводятся требования к порядку разработки и содержанию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инструкций</w:t>
        </w:r>
      </w:hyperlink>
      <w:r>
        <w:rPr>
          <w:rFonts w:ascii="Arial" w:hAnsi="Arial" w:cs="Arial"/>
          <w:sz w:val="20"/>
          <w:szCs w:val="20"/>
        </w:rPr>
        <w:t xml:space="preserve"> по охране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772н)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Вводятся типовые формы документов, необходимых для проведения государственной экспертизы условий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28.10.2021 N 765н)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6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Приводится примерный порядок размещения работодателем информационных материалов в зависимости от структуры и организации работы у конкретного работодателя, а также его финансовых возможностей.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рекомендаций работодатели могут самостоятельно определять и осуществлять размещение информационных материалов с учетом форм (способов) информирования работников.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Работодатели могут размещать информационные материалы любыми перечисленными способами: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тиражирование (распространение) печатной продукции и видеоматериалов по информированию работников;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распространение материалов по информированию работников через кабинеты охраны труда или уголки по охране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размещение на внутреннем корпоративном веб-портале или веб-сайте работодателя (при наличии);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рассылка по электронной почте/проведение онлайн-опросов;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телефонных интервью;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собеседований.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может осуществлять указанные мероприятия либо по отдельности, либо одновременно, выбор конкретного мероприятия или состава мероприятий осуществляется работодателем самостоятельно.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Минтруда РФ от 17.01.2001 N 7 "Об утверждении Рекомендаций по организации работы кабинета охраны труда и уголка охраны труда".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17.12.2021 N 894)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6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выбору методов оценки уровней профессиональных рисков и по снижению уровней таких рисков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Организации, осуществляющие оценку уровня профессиональных рисков (как сами работодатели, так и экспертные организации, выполняющие оценку на договорной основе), вправе использовать иные способы и методы, </w:t>
      </w:r>
      <w:proofErr w:type="gramStart"/>
      <w:r>
        <w:rPr>
          <w:rFonts w:ascii="Arial" w:hAnsi="Arial" w:cs="Arial"/>
          <w:sz w:val="20"/>
          <w:szCs w:val="20"/>
        </w:rPr>
        <w:t>кроме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в рекомендациях.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вправе разработать собственный метод оценки уровня профессиональных рисков, исходя из специфики своей деятельности.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28.12.2021 N 926)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7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учету микроповреждений (микротравм) работников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микроповреждений (микротравм) работников рекомендуется осуществлять посредством сбора и регистрации информации о них.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Работодатель осуществляет учет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рекомендуется, в частности: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соответствующей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справке</w:t>
        </w:r>
      </w:hyperlink>
      <w:r>
        <w:rPr>
          <w:rFonts w:ascii="Arial" w:hAnsi="Arial" w:cs="Arial"/>
          <w:sz w:val="20"/>
          <w:szCs w:val="20"/>
        </w:rPr>
        <w:t xml:space="preserve"> или ином определенном работодателем документе;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организовать регистрацию происшедших микроповреждений (микротравм) в специальном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>
        <w:rPr>
          <w:rFonts w:ascii="Arial" w:hAnsi="Arial" w:cs="Arial"/>
          <w:sz w:val="20"/>
          <w:szCs w:val="20"/>
        </w:rPr>
        <w:t xml:space="preserve"> или ином определенном работодателем документе.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15.09.2021 N 632н)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 1 марта 2022 года применяются новые </w:t>
      </w:r>
      <w:hyperlink r:id="rId7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структуре службы охраны труда в организации и по численности работников службы охраны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 и содержат положения об организации службы охраны труда, определении ее структуры и методике </w:t>
      </w:r>
      <w:proofErr w:type="gramStart"/>
      <w:r>
        <w:rPr>
          <w:rFonts w:ascii="Arial" w:hAnsi="Arial" w:cs="Arial"/>
          <w:sz w:val="20"/>
          <w:szCs w:val="20"/>
        </w:rPr>
        <w:t>расчета нормативной численности работников службы охраны труда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Рекомендации не распространяются на ИП,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осуществляющих производственную деятельность, предоставляющих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деятельности, а также не применяются для</w:t>
      </w:r>
      <w:proofErr w:type="gramEnd"/>
      <w:r>
        <w:rPr>
          <w:rFonts w:ascii="Arial" w:hAnsi="Arial" w:cs="Arial"/>
          <w:sz w:val="20"/>
          <w:szCs w:val="20"/>
        </w:rPr>
        <w:t xml:space="preserve">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Утрачивают силу Постановления Минтруда России от 08.02.2000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14</w:t>
        </w:r>
      </w:hyperlink>
      <w:r>
        <w:rPr>
          <w:rFonts w:ascii="Arial" w:hAnsi="Arial" w:cs="Arial"/>
          <w:sz w:val="20"/>
          <w:szCs w:val="20"/>
        </w:rPr>
        <w:t xml:space="preserve"> "Об утверждении Рекомендаций по организации работы службы охраны труда в организации" и от 22.01.2001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10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Межотраслевых </w:t>
      </w:r>
      <w:proofErr w:type="gramStart"/>
      <w:r>
        <w:rPr>
          <w:rFonts w:ascii="Arial" w:hAnsi="Arial" w:cs="Arial"/>
          <w:sz w:val="20"/>
          <w:szCs w:val="20"/>
        </w:rPr>
        <w:t>нормативов численности работников службы охраны труда</w:t>
      </w:r>
      <w:proofErr w:type="gramEnd"/>
      <w:r>
        <w:rPr>
          <w:rFonts w:ascii="Arial" w:hAnsi="Arial" w:cs="Arial"/>
          <w:sz w:val="20"/>
          <w:szCs w:val="20"/>
        </w:rPr>
        <w:t xml:space="preserve"> в организациях".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31.01.2022 N 37)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7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классификации, обнаружению, распознаванию и описанию опасностей для их эффективного выявления на рабочих местах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Выявленные опасности рекомендуется классифицировать: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видам профессиональной деятельности работников с учетом наличия вредных (опасных) производственных факторов;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причинам возникновения опасностей на рабочих местах (рабочих зонах), при выполнении работ, при нештатной (аварийной) ситуации;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опасным событиям вследствие воздействия опасности (профессиональные заболевания, травмы), приведенной в примерном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 xml:space="preserve"> опасностей и мер по управлению ими в рамках СУОТ.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Приведенные способы классификации опасностей рекомендуется применять при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</w:t>
      </w:r>
      <w:r>
        <w:rPr>
          <w:rFonts w:ascii="Arial" w:hAnsi="Arial" w:cs="Arial"/>
          <w:sz w:val="20"/>
          <w:szCs w:val="20"/>
        </w:rPr>
        <w:lastRenderedPageBreak/>
        <w:t>целом, а также при описании выявленных опасностей. Приведены примерные классификации опасностей в зависимости от выбранного способа классификации.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31.01.2022 N 36)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Срок нахождения </w:t>
      </w:r>
      <w:hyperlink r:id="rId8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Минтруда России N 1, Минобразования России N 29 от 13.01.2003 "Об утверждении Порядка обучения по охране труда и проверки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знаний требований охраны труда работников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организаций" в </w:t>
      </w:r>
      <w:hyperlink r:id="rId8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актов, на которые не распространяется механизм "регуляторной гильотины", продлен до 1 сентября 2022 года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24.12.2021 N 2464)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СОЦИАЛЬНОЕ СТРАХОВАНИЕ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Истекает срок действия </w:t>
      </w:r>
      <w:hyperlink r:id="rId8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Правительства РФ от 24.10.2020 N 1730 "О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заболевания"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24.10.2020 N 1730;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24.09.2021 N 13-4/10/В-12514)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ОБЯЗАТЕЛЬНОЕ МЕДИЦИНСКОЕ СТРАХОВАНИЕ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Ведение территориального реестра экспертов качества медицинской помощи будет осуществляться в ГИС ОМС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записей территориального реестра в течение дня их формирования (изменения) включаются в соответствующие им записи единого реестра.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сведениям территориального реестра предоставляется: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территориальному фонду ОМС;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страховым медицинским организациям, включенным в реестр страховых медицинских организаций;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экспертам, включенным в территориальный реестр, в части относящихся к ним сведений.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едином реестре и территориальном реестре формируются четыре вида записей по каждому эксперту качества медицинской помощи: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запись, содержащая информацию о проводимых экспертом экспертизах качества медицинской помощи;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запись, содержащая информацию о гражданско-правовых договорах, заключенных Федеральным фондом, территориальным фондом, страховой медицинской организацией с экспертом, и их исполнении;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запись, содержащая отчетную и аналитическую информацию о деятельности эксперта.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16.03.2021 N 210н)</w:t>
      </w:r>
    </w:p>
    <w:p w:rsidR="003E498B" w:rsidRDefault="003E498B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98B" w:rsidRDefault="003E498B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98B" w:rsidRDefault="003E498B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B9" w:rsidRDefault="00A71A7A" w:rsidP="007F3A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F3A00" w:rsidRDefault="007F3A00" w:rsidP="007A5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Х «Охрана труда «Трудового Кодекса РФ: что изменилось</w:t>
      </w:r>
    </w:p>
    <w:p w:rsidR="007A5CB9" w:rsidRPr="007A5CB9" w:rsidRDefault="007A5CB9" w:rsidP="007A5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A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раздела содержит большое количество новшеств. Ряд требований был включён впервые, а некоторые скорректированы или вовсе исключены. Одни изменения мелкие, носят технический характер и не повлияют на работу специалиста по охране труда (далее — СОТ, ОТ) и кадровика, а другие потребуют внесения изменений в локальные нормативные акты (ЛНА).</w:t>
      </w:r>
    </w:p>
    <w:p w:rsidR="007F3A00" w:rsidRDefault="007F3A00" w:rsidP="007A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серьёзные изменения ждут нас:</w:t>
      </w:r>
    </w:p>
    <w:p w:rsidR="007F3A00" w:rsidRPr="007F3A00" w:rsidRDefault="007F3A00" w:rsidP="00A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марта 2022 года — когда новая редакция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 в законную силу, и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2024 года — когда нам придется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новые нормы выдачи СИЗ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00" w:rsidRPr="007F3A00" w:rsidRDefault="007F3A00" w:rsidP="00A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структура</w:t>
      </w:r>
      <w:proofErr w:type="gramStart"/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X ТК РФ стало на 1 главу и 9 статей больше (таблица 1):</w:t>
      </w:r>
    </w:p>
    <w:p w:rsidR="007F3A00" w:rsidRDefault="007F3A00" w:rsidP="007A5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A00" w:rsidTr="007F3A00">
        <w:tc>
          <w:tcPr>
            <w:tcW w:w="4785" w:type="dxa"/>
          </w:tcPr>
          <w:p w:rsidR="007F3A00" w:rsidRP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2022 года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 статей)</w:t>
            </w:r>
          </w:p>
        </w:tc>
        <w:tc>
          <w:tcPr>
            <w:tcW w:w="4786" w:type="dxa"/>
          </w:tcPr>
          <w:p w:rsidR="007F3A00" w:rsidRP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марта 2022 года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 статей)</w:t>
            </w:r>
          </w:p>
          <w:p w:rsidR="00BE556A" w:rsidRDefault="00BE556A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00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33. Общие положения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209. Основные понятия;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210. Основные направления государственной политики в области охраны труда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33. Общие положения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209. Основные понятия;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принципы обеспечения безопасности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210. Основные направления государственной политики в области охраны труда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00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34. Требования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211. Государственные нормативные требования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212. Обязанности работодателя по обеспечению безопасных условий 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213. Медицинские осмотры некоторых категорий работников;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214. Обязанности работника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215. Соответствие производственных объектов и продукции государственным нормативным требованиям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Глава 34 Государственное управление охраной труда и требования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211. Государственное управление охраной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Полномочия Правительства Российской Федерации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Полномочия федеральных органов исполнительной власти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Полномочия органов исполнительной власти субъектов Российской Федерации в области охраны труда;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212. Государственные нормативные требования охраны труда и 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безопасности;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213. Государственная экспертиза условий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6A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35 Организация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216. Государственное управление охраной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216.1. Государственная экспертиза условий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217. Служба охраны труда в организации;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218. Комитеты (комиссии) по охране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35 Права и обязанности работодателя и работника в области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214. Обязанности работодателя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Запрет на работу в опасных условиях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работодателя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215. Обязанности работника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216. Права работника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Гарантии права работников на труд в условиях, соответствующих требованиям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 работника на получение информации об условиях и охране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права работников на санитарно-бытовое обслуживание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6A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36. Обеспечение прав работников на охрану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219. Право работника на труд в условиях, отвечающих требованиям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220. Гарантии права работников на труд в условиях, соответствующих требованиям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221. Обеспечение работников средствами индивидуальной защиты;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222. Выдача молока и лечебно-профилактического питания;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223. Санитарно-бытовое обслуживание и медицинское обеспечение работников;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224. Дополнительные гарантии охраны труда отдельным категориям работников;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225. Обучение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226. Финансирование мероприятий по улучшению условий 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227. Несчастные случаи, подлежащие расследованию и учету;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228. Обязанности работодателя при несчастном случае;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228.1. Порядок извещения о несчастных случаях;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229. Порядок формирования 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 по расследованию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229.1. Сроки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229.2. Порядок проведения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229.3. Проведение расследования несчастных случаев государственными инспекторами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230. Порядок оформления материалов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230.1. Порядок регистрации и учета несчастных случаев на производстве;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231. Рассмотрение разногласий по вопросам расследования, оформления и учета несчастных случаев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36. Управление охраной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217. Система управления охраной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218. Профессиональные риски;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219. </w:t>
            </w:r>
            <w:proofErr w:type="gramStart"/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220. Медицинские осмотры некоторых категорий работников;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221. Обеспечение работников средствами индивидуальной защиты;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222. Обеспечение работников молоком или другими равноценными пищевыми продуктами, лечебно-профилактическим питанием;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223. Служба охраны труда у работодателя;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224. Комитеты (комиссии) по охране труда;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225. Финансирование мероприятий по улучшению условий и охраны труда</w:t>
            </w:r>
          </w:p>
          <w:p w:rsidR="007A5CB9" w:rsidRPr="007F3A00" w:rsidRDefault="007A5CB9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361.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Расследование, оформление (рассмотрение), учет микроповреждений (микротравм), несчастных случаев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226. Микроповреждения (микротравмы);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227. Несчастные случаи, подлежащие расследованию и учету;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228. Обязанности работодателя при 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несчастном случае;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извещения о несчастных случаях;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 Порядок формирования комиссий по расследованию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Сроки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проведения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расследования несчастных случаев государственными инспекторами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230. Порядок оформления материалов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регистрации и учета несчастных случаев на производстве;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231. Рассмотрение разногласий по вопросам расследования, оформления и учета несчастных случаев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7A5CB9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A00" w:rsidRPr="007F3A00" w:rsidRDefault="007F3A00" w:rsidP="007A5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X дополнен и скорректирован, или 12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моментов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стоит обратить внимание</w:t>
      </w:r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переформатированы, дополнены новыми статьями, а содержание действующих статей частично изменено. В частности:</w:t>
      </w:r>
    </w:p>
    <w:p w:rsidR="00AA613D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Разграничены полномочия Правительства РФ, федеральных органов исполнительной власти, органов исполнительной вл</w:t>
      </w:r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субъектов РФ в области </w:t>
      </w:r>
      <w:proofErr w:type="gramStart"/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государственные нормативные требования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безопасности труда, а также порядок осуществления государственной экспертизы условий труда.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порядок соответствия зданий, сооружений, оборудования, технологических процессов и материалов государственным нормативным требованиям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обязанности и права работодателя, а также обязанности и права работника в области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 порядок введения запрета на р</w:t>
      </w:r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в опасных условиях труда.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гарантии права работников на труд в условиях, соответствующих требованиям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 права работников на получение информации об условиях и ОТ, а также права работников на санитарно-бытовое обслуживание.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управления профессиональными рисками на рабочих местах.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правила обучения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проведения медицинских осмотров некоторых категорий работников, правила обеспечения работников СИЗ, порядок обеспечения работников молоком или другими равноценными пищевыми продуктами, лечебно-профилактическим питанием.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 порядок создания службы ОТ у работодателя, а также комитетов (комиссий)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порядок и условия финансирования мероприятий по улучшению условий и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работодателями.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расследования, оформления (рассмотрения), учёта микроповреждений (микротравм), несчастных случаев на производстве.</w:t>
      </w:r>
    </w:p>
    <w:p w:rsidR="007F3A00" w:rsidRDefault="007F3A00" w:rsidP="007F3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https://блог-инженера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 за неверные сведения в ФСС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00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новой статьей 15.2, которая появится в Законе о социальном страховании № 255-ФЗ с 1 января 2022 года, за недостоверность сведений, переданные в ФСС организации, грозит штраф от 1000 до 5000 руб. За нарушение сроков передачи в ФСС информации, необходимой для назначения выплат по больничному, штраф составит 5000 руб.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A7A" w:rsidRPr="00A71A7A" w:rsidRDefault="007F3A00" w:rsidP="007F3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раздела Х ТК РФ, который касается охраны труда, вступает в силу с 01.03.2022. Большинство изменений направлены на обеспечение безопасности рабочих мест и привлечение работников к реализации положений об охране труда. Выделим наиболее интересные новшества.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1A7A"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опасных условиях запрещена без каких-либо оговорок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2022 года законом от 02.07.2021 № 311-ФЗ, в ТК РФ вводится еще одна новая статья 214.1 «Запрет на работу в опасных условиях труда». И с этого момента руководитель организации обязан остановить работу на рабочих местах, которые по результатам </w:t>
      </w:r>
      <w:proofErr w:type="spell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отнесены к опасному 4-му классу условий труда. Возобновить работу можно только после устранения всех рисков. Когда все опасные факторы рабочего места будут устранены, нужно провести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подтвердит снижение класса опасности. Но запрет на работу в опасных условиях «снимается», если нужно проводить работы, связанные с предотвращением или устранением последствий ЧС. </w:t>
      </w:r>
    </w:p>
    <w:p w:rsidR="00A71A7A" w:rsidRPr="00A71A7A" w:rsidRDefault="00A71A7A" w:rsidP="00A71A7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Работники, </w:t>
      </w:r>
      <w:proofErr w:type="gramStart"/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временное</w:t>
      </w:r>
      <w:proofErr w:type="gramEnd"/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отстраненные из-за опасности рабочих мест, получают среднюю зарплату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которые будут временно отстранены от работы не по своей вине, нужно выплачивать средний заработок. Их нельзя уволить, объявить простой или принудительно отправить в отпуск. За ними сохраняются все гарантии по оплате труда на период остановки работы: рабочие места, средний заработок. По договоренности с работником, его можно временно перевести на другое рабочее место с сохранением уровня заработной платы.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A7A" w:rsidRPr="00A71A7A" w:rsidRDefault="00A71A7A" w:rsidP="00A71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штате более 50 работников, придется создавать службу охраны труда </w:t>
      </w:r>
    </w:p>
    <w:p w:rsidR="00A71A7A" w:rsidRDefault="00A71A7A" w:rsidP="00A7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 о службе охраны труды с 2022 года перенесены из статьи 217 ТК РФ в статью 223. Теперь ТК РФ обязывает организации с численностью работников более 50 человек создавать службу охраны труда или вводить отдельную должность специалиста по охране труда. Компания с меньшей численностью работников менее 50 человек сами принимают решение о необходимости наличия службы охраны труда или специалиста по охране труда. Организация или ИП, оказывающие услуги в области охраны труда, должны быть аккредитованы.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без СИЗ нельзя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компании обязан отстранить от работы сотрудников, которые отказываются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выданные им СИЗ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2022 года в ТК РФ появляется новая редакция статьи 221 ТК РФ, в которой приведен список изделий, относящихся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СИЗ.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организации вправе добавить свои СИЗ, необходимые для безопасности работников в определенных условиях.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221 ТК РФ в перечень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теперь входит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специальная одежда и специальная обувь, дерматологические средства защиты, средства защиты органов дыхания, рук, головы, лица, органа слуха, глаз, средства защиты от падения с высоты, и другие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 индивидуальной защиты.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нужно вести учет микротравм работников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Трудовом кодексе РФ с 1 марта 2022 года появляется новая статью 226 про микротравмы. Организация обязана самостоятельно вести учет микротравм, выявлять обстоятельства и причины </w:t>
      </w:r>
      <w:proofErr w:type="spell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Микроповреждения (микротравмы) – это ссадины, кровоподтеки, ушибы мягких тканей, поверхностные раны и другие повреждения, полученные работниками при исполнении трудовых обязанностей или выполнении работы по поручению работодателя, не повлекшие расстройства здоровья или наступление временной нетрудоспособности.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Информировать работников о трудовых правах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61C" w:rsidRDefault="00A71A7A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29.10.2021 № 773н (зарегистрирован Минюстом 14.12.2021 №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66317) 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утвердил формы информирования работников о трудовых правах. С 1 марта 2022 года в ТК РФ появится новая статья 216.1, которая устанавливает право работника на получение информации об условиях и охране труда. При этом обязанность предоставления указанной информации возлагается на работодателя. Минтруд определил 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 и ау</w:t>
      </w:r>
      <w:proofErr w:type="gramEnd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дио запись рабочих местах легализована </w:t>
      </w: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2022 года вступит в силу еще одна новая статья 214.2 в ТК РФ: «Права работодателя в области охраны труда». В ней устанавливается право руководителей организаций: вести дистанционную видео-, ауди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фиксацию производственных процессов; перейти на электронный документооборот в области охраны труда; предоставлять органам власти и органам госконтроля дистанционный доступ к наблюдению за производством и к электронным документам организации по охране 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труда. Организация обязана обеспечивать хранение видео-, ауди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записей производственных процессов.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85C" w:rsidRDefault="00A71A7A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461C"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форма декларации СОУТ</w:t>
      </w:r>
      <w:r w:rsidR="0028461C"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марта 2022 г. приказом Минтруда от 17.06.2021 № 406н, вводятся новый Порядок подачи декларации СОУТ и ее новая форма. Изменений не много, и все они малозначимы: 1. Декларация СОУТ должна быть подана не со дня утверждения отчета о проведении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течение 30 рабочих дней со дня внесения сведений о результатах СОУТ в информационную систему. Правила для компаний, оказывающих услуги по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меняются. Они должны передать результаты СОУТ в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информсистему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утверждения отчета и сообщить об этом заказчику (работодателю) в течение 3 рабочих дней. 2. Декларация СОУТ стала бессрочной. 3. Декларация теперь подписывается только усиленной квалифицированной подписью. Содержание декларации по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изменилось. </w:t>
      </w:r>
    </w:p>
    <w:p w:rsidR="0028461C" w:rsidRPr="0028461C" w:rsidRDefault="0028461C" w:rsidP="002846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Женский труд запрещен на тяжелых работах </w:t>
      </w:r>
    </w:p>
    <w:p w:rsidR="0028461C" w:rsidRPr="0028461C" w:rsidRDefault="0028461C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2022 г. вступает в силу Приказ Минтруда от 13.05.2021 г. № 313н, которым сокращен список женских профессий и поставлены барьеры на замещение женщинами ряда тяжелых профессий. Женский труд запрещен в котельных, холодноштамповочных, волочильных и давильных цехах. «Слабый» пол теперь не может работать котельщиками, токарями на ручных </w:t>
      </w:r>
      <w:proofErr w:type="spell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токарно</w:t>
      </w:r>
      <w:proofErr w:type="spell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—давильных станках, чеканщиками и т.п. Одновременно из перечня 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 работы, выполняемые в т. ч. авиамеханиками по планеру, двигателям, приборам, электро- и радиооборудованию. 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Допотпуск</w:t>
      </w:r>
      <w:proofErr w:type="spellEnd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производственной травме или профзаболевании оплачивается по-новому</w:t>
      </w:r>
    </w:p>
    <w:p w:rsid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получит на производстве травму, кроме больничного он вправе требовать дополнительные выплаты от работодателя и получить оплачиваемый дополнительный отпуск для санаторно-курортного лечения.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такого отпуска осуществляется в размере среднего заработка. С 2022 года согласно постановлению Правительства от 21.09.2021 № 1584, организация заранее, за 2 недели должна подать в ФСС сведения для оплаты работнику дополнительного отпуска в связи с травмой или профзаболеванием. Сделать это нужно по форме, утвержденной ФСС в бумажном виде, либо в электронном через информационную систему «Соцстрах». Одновременно со сведениями подаются подтверждающие документы, такие, как: выписка из приказа об отпуске, и данные, необходимые для оплаты</w:t>
      </w:r>
      <w:r w:rsidR="005D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реквизиты счета. </w:t>
      </w:r>
      <w:r w:rsidR="005D2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сточник: </w:t>
      </w:r>
      <w:r w:rsidR="005D2D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28461C" w:rsidRDefault="0028461C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5C" w:rsidRPr="0061185C" w:rsidRDefault="0061185C" w:rsidP="0061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Урегулирована охрана труда при выполнении работ на территории другого работодателя</w:t>
      </w:r>
    </w:p>
    <w:p w:rsidR="0061185C" w:rsidRPr="0061185C" w:rsidRDefault="0061185C" w:rsidP="00611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(новая часть 4 ст. 214 ТК РФ). Такая ситуация часто встречается в строительстве. Например, на территории заказчика работает подрядчик. Работники смешиваются в ходе производственного процесса, а следить за соблюдением правил охраны труда становится </w:t>
      </w:r>
      <w:r w:rsidRPr="00611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гораздо сложнее. На данный момент в ТК РФ обязанности работодателей в этом случае не разграничены. Но с 01.03.2022 работодатель, выполняющий работы, оказывающий услуги на территории другого работодателя, должен заблаговременно согласовать с ним мероприятия по предотвращению несчастных случаев работников. Примерный перечень мероприятий будет утвержден Минтрудом России.</w:t>
      </w:r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85C" w:rsidRDefault="0061185C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DD2" w:rsidRDefault="005D2DD2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вступившие в 2020</w:t>
      </w:r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22 ноября можно оформлять кадровые документы в электронном виде без их дублирования на бумаге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22 ноября отменена обязанность </w:t>
        </w:r>
        <w:proofErr w:type="gramStart"/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издавать</w:t>
        </w:r>
        <w:proofErr w:type="gramEnd"/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приказ о приеме на работу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сентября трудовые книжки нужно вести по-новому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23 июля действует новое положение о проверках работодателей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июля действует обновленная форма СЗВ-ТД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5D2DD2" w:rsidRPr="0028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1 июля вводится обязательное досудебное обжалование решений </w:t>
        </w:r>
        <w:proofErr w:type="spellStart"/>
        <w:r w:rsidR="005D2DD2" w:rsidRPr="0028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трудинспекций</w:t>
        </w:r>
        <w:proofErr w:type="spellEnd"/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5D2DD2" w:rsidRPr="0028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июля некоторым работодателям нужно сообщать информацию о соискателях через сайт "Работа в России"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21 апреля определен круг некоммерческих организаций, которые могут отказаться от локальных актов в сфере труда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16 апреля установлены специальные сроки для подачи работником иска о возмещении морального вреда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20 марта больше многодетных работников могут брать отпуск в любое время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7 января продлены временные правила работы </w:t>
        </w:r>
        <w:proofErr w:type="spellStart"/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вахтовиков</w:t>
        </w:r>
        <w:proofErr w:type="spellEnd"/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начали действовать новые правила, регламентирующие удаленную работу</w:t>
        </w:r>
      </w:hyperlink>
    </w:p>
    <w:p w:rsidR="005D2DD2" w:rsidRPr="00A71A7A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установлены особенности регулирования труда в некоммерческих организациях</w:t>
        </w:r>
      </w:hyperlink>
    </w:p>
    <w:p w:rsidR="005D2DD2" w:rsidRDefault="003E498B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работникам, трудоустроенным впервые, не нужно оформлять трудовые книжки</w:t>
        </w:r>
      </w:hyperlink>
    </w:p>
    <w:p w:rsidR="005D2DD2" w:rsidRPr="00A71A7A" w:rsidRDefault="005D2DD2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обновлено положение об особенностях режима рабочего времени водителей</w:t>
      </w:r>
    </w:p>
    <w:p w:rsidR="005D2DD2" w:rsidRPr="00A71A7A" w:rsidRDefault="005D2DD2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сокращен перечень работ, на которых запрещено трудиться женщинам</w:t>
      </w:r>
    </w:p>
    <w:p w:rsidR="005D2DD2" w:rsidRPr="0028461C" w:rsidRDefault="005D2DD2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0F" w:rsidRDefault="00E4640F"/>
    <w:sectPr w:rsidR="00E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744"/>
    <w:multiLevelType w:val="multilevel"/>
    <w:tmpl w:val="BF3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6"/>
    <w:rsid w:val="0028461C"/>
    <w:rsid w:val="00304FF6"/>
    <w:rsid w:val="003E498B"/>
    <w:rsid w:val="005D2DD2"/>
    <w:rsid w:val="0061185C"/>
    <w:rsid w:val="007A5CB9"/>
    <w:rsid w:val="007F3A00"/>
    <w:rsid w:val="00A71A7A"/>
    <w:rsid w:val="00AA613D"/>
    <w:rsid w:val="00BE556A"/>
    <w:rsid w:val="00E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A7A"/>
    <w:pPr>
      <w:ind w:left="720"/>
      <w:contextualSpacing/>
    </w:pPr>
  </w:style>
  <w:style w:type="table" w:styleId="a5">
    <w:name w:val="Table Grid"/>
    <w:basedOn w:val="a1"/>
    <w:uiPriority w:val="59"/>
    <w:rsid w:val="007F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A7A"/>
    <w:pPr>
      <w:ind w:left="720"/>
      <w:contextualSpacing/>
    </w:pPr>
  </w:style>
  <w:style w:type="table" w:styleId="a5">
    <w:name w:val="Table Grid"/>
    <w:basedOn w:val="a1"/>
    <w:uiPriority w:val="59"/>
    <w:rsid w:val="007F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226D0F886F3FDD6214863C29ECFDA23D3A0732FA929BF1371D24FFA4B8A6F997105C23DF9B976CB384814604N710D" TargetMode="External"/><Relationship Id="rId21" Type="http://schemas.openxmlformats.org/officeDocument/2006/relationships/hyperlink" Target="consultantplus://offline/ref=68226D0F886F3FDD6214863C29ECFDA23D3A0738F9969BF1371D24FFA4B8A6F997105C23DF9B976CB384814604N710D" TargetMode="External"/><Relationship Id="rId42" Type="http://schemas.openxmlformats.org/officeDocument/2006/relationships/hyperlink" Target="consultantplus://offline/ref=68226D0F886F3FDD6214863C29ECFDA23A33063BF3959BF1371D24FFA4B8A6F98510042FDE9C896DB191D7174227F2A447350F9B1C9F93E7NC17D" TargetMode="External"/><Relationship Id="rId47" Type="http://schemas.openxmlformats.org/officeDocument/2006/relationships/hyperlink" Target="consultantplus://offline/ref=68226D0F886F3FDD6214863C29ECFDA2383F0C3FF1C5CCF366482AFAACE8FCE993590829C09C8B72B39A81N414D" TargetMode="External"/><Relationship Id="rId63" Type="http://schemas.openxmlformats.org/officeDocument/2006/relationships/hyperlink" Target="consultantplus://offline/ref=68226D0F886F3FDD6214863C29ECFDA23D3A0538FF939BF1371D24FFA4B8A6F98510042FDE9C8969B891D7174227F2A447350F9B1C9F93E7NC17D" TargetMode="External"/><Relationship Id="rId68" Type="http://schemas.openxmlformats.org/officeDocument/2006/relationships/hyperlink" Target="consultantplus://offline/ref=68226D0F886F3FDD6214863C29ECFDA23D3A013AF29B9BF1371D24FFA4B8A6F997105C23DF9B976CB384814604N710D" TargetMode="External"/><Relationship Id="rId84" Type="http://schemas.openxmlformats.org/officeDocument/2006/relationships/hyperlink" Target="consultantplus://offline/ref=68226D0F886F3FDD6214863C29ECFDA23D3A013AFD979BF1371D24FFA4B8A6F98510042FDE9C896DB791D7174227F2A447350F9B1C9F93E7NC17D" TargetMode="External"/><Relationship Id="rId89" Type="http://schemas.openxmlformats.org/officeDocument/2006/relationships/hyperlink" Target="http://www.consultant.ru/document/cons_doc_LAW_369850/dbe7f67d30da526a3401be6abff2e419e0f3ff35/" TargetMode="External"/><Relationship Id="rId16" Type="http://schemas.openxmlformats.org/officeDocument/2006/relationships/hyperlink" Target="consultantplus://offline/ref=68226D0F886F3FDD6214863C29ECFDA23D3A063CF2949BF1371D24FFA4B8A6F997105C23DF9B976CB384814604N710D" TargetMode="External"/><Relationship Id="rId11" Type="http://schemas.openxmlformats.org/officeDocument/2006/relationships/hyperlink" Target="consultantplus://offline/ref=68226D0F886F3FDD6214863C29ECFDA23A320D3AF2919BF1371D24FFA4B8A6F98510042CD8958F67E5CBC7130B73F8BB4029119B029FN911D" TargetMode="External"/><Relationship Id="rId32" Type="http://schemas.openxmlformats.org/officeDocument/2006/relationships/hyperlink" Target="consultantplus://offline/ref=68226D0F886F3FDD6214863C29ECFDA23D3A063BF9929BF1371D24FFA4B8A6F997105C23DF9B976CB384814604N710D" TargetMode="External"/><Relationship Id="rId37" Type="http://schemas.openxmlformats.org/officeDocument/2006/relationships/hyperlink" Target="consultantplus://offline/ref=68226D0F886F3FDD6214863C29ECFDA23D3A0638FB949BF1371D24FFA4B8A6F98510042FDE9C896DB091D7174227F2A447350F9B1C9F93E7NC17D" TargetMode="External"/><Relationship Id="rId53" Type="http://schemas.openxmlformats.org/officeDocument/2006/relationships/hyperlink" Target="consultantplus://offline/ref=68226D0F886F3FDD6214863C29ECFDA23A330533F8929BF1371D24FFA4B8A6F98510042FDE9C8969B591D7174227F2A447350F9B1C9F93E7NC17D" TargetMode="External"/><Relationship Id="rId58" Type="http://schemas.openxmlformats.org/officeDocument/2006/relationships/hyperlink" Target="consultantplus://offline/ref=68226D0F886F3FDD6214863C29ECFDA23D3A0539FD9A9BF1371D24FFA4B8A6F98510042FDE9C896DB991D7174227F2A447350F9B1C9F93E7NC17D" TargetMode="External"/><Relationship Id="rId74" Type="http://schemas.openxmlformats.org/officeDocument/2006/relationships/hyperlink" Target="consultantplus://offline/ref=68226D0F886F3FDD6214863C29ECFDA23D3A0338FC919BF1371D24FFA4B8A6F997105C23DF9B976CB384814604N710D" TargetMode="External"/><Relationship Id="rId79" Type="http://schemas.openxmlformats.org/officeDocument/2006/relationships/hyperlink" Target="consultantplus://offline/ref=68226D0F886F3FDD6214863C29ECFDA23D3A0C3CFB909BF1371D24FFA4B8A6F98510042FDE9C896CB891D7174227F2A447350F9B1C9F93E7NC17D" TargetMode="External"/><Relationship Id="rId102" Type="http://schemas.openxmlformats.org/officeDocument/2006/relationships/hyperlink" Target="http://www.consultant.ru/document/cons_doc_LAW_369850/7572fadb1a0493b02e524700b4be0d8b2583d5e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369850/a3a44885d64e9ce0ee837197c7de1eb659041dba/" TargetMode="External"/><Relationship Id="rId95" Type="http://schemas.openxmlformats.org/officeDocument/2006/relationships/hyperlink" Target="http://www.consultant.ru/document/cons_doc_LAW_369850/d07025b55c688e2c350376893458f762f603d1cf/" TargetMode="External"/><Relationship Id="rId22" Type="http://schemas.openxmlformats.org/officeDocument/2006/relationships/hyperlink" Target="consultantplus://offline/ref=68226D0F886F3FDD6214863C29ECFDA23D3A0732FA929BF1371D24FFA4B8A6F98510042FDE9C896DB491D7174227F2A447350F9B1C9F93E7NC17D" TargetMode="External"/><Relationship Id="rId27" Type="http://schemas.openxmlformats.org/officeDocument/2006/relationships/hyperlink" Target="consultantplus://offline/ref=68226D0F886F3FDD6214863C29ECFDA23D3A0738F9979BF1371D24FFA4B8A6F98510042FDE9C896EB791D7174227F2A447350F9B1C9F93E7NC17D" TargetMode="External"/><Relationship Id="rId43" Type="http://schemas.openxmlformats.org/officeDocument/2006/relationships/hyperlink" Target="consultantplus://offline/ref=68226D0F886F3FDD6214863C29ECFDA23A33063BF3959BF1371D24FFA4B8A6F98510042AD5C8D828E49782411872FDBB422B0DN91BD" TargetMode="External"/><Relationship Id="rId48" Type="http://schemas.openxmlformats.org/officeDocument/2006/relationships/hyperlink" Target="consultantplus://offline/ref=68226D0F886F3FDD6214863C29ECFDA23A330233F8919BF1371D24FFA4B8A6F98510042FDE9C896DB891D7174227F2A447350F9B1C9F93E7NC17D" TargetMode="External"/><Relationship Id="rId64" Type="http://schemas.openxmlformats.org/officeDocument/2006/relationships/hyperlink" Target="consultantplus://offline/ref=68226D0F886F3FDD6214863C29ECFDA23D3A0538FF939BF1371D24FFA4B8A6F997105C23DF9B976CB384814604N710D" TargetMode="External"/><Relationship Id="rId69" Type="http://schemas.openxmlformats.org/officeDocument/2006/relationships/hyperlink" Target="consultantplus://offline/ref=68226D0F886F3FDD6214863C29ECFDA23D3A023BFB959BF1371D24FFA4B8A6F98510042FDE9C896CB891D7174227F2A447350F9B1C9F93E7NC17D" TargetMode="External"/><Relationship Id="rId80" Type="http://schemas.openxmlformats.org/officeDocument/2006/relationships/hyperlink" Target="consultantplus://offline/ref=68226D0F886F3FDD6214863C29ECFDA23D3A0738F9969BF1371D24FFA4B8A6F98510042FDE9C8B68B191D7174227F2A447350F9B1C9F93E7NC17D" TargetMode="External"/><Relationship Id="rId85" Type="http://schemas.openxmlformats.org/officeDocument/2006/relationships/hyperlink" Target="consultantplus://offline/ref=68226D0F886F3FDD6214863C29ECFDA23A330132FB949BF1371D24FFA4B8A6F997105C23DF9B976CB384814604N710D" TargetMode="External"/><Relationship Id="rId12" Type="http://schemas.openxmlformats.org/officeDocument/2006/relationships/hyperlink" Target="consultantplus://offline/ref=68226D0F886F3FDD6214863C29ECFDA23A320D3AF2919BF1371D24FFA4B8A6F98510042CD89B8B67E5CBC7130B73F8BB4029119B029FN911D" TargetMode="External"/><Relationship Id="rId17" Type="http://schemas.openxmlformats.org/officeDocument/2006/relationships/hyperlink" Target="consultantplus://offline/ref=68226D0F886F3FDD6214863C29ECFDA23D3A0738F9969BF1371D24FFA4B8A6F98510042FDE9C896DB091D7174227F2A447350F9B1C9F93E7NC17D" TargetMode="External"/><Relationship Id="rId25" Type="http://schemas.openxmlformats.org/officeDocument/2006/relationships/hyperlink" Target="consultantplus://offline/ref=68226D0F886F3FDD6214863C29ECFDA23A330139FF939BF1371D24FFA4B8A6F997105C23DF9B976CB384814604N710D" TargetMode="External"/><Relationship Id="rId33" Type="http://schemas.openxmlformats.org/officeDocument/2006/relationships/hyperlink" Target="consultantplus://offline/ref=68226D0F886F3FDD6214863C29ECFDA23D3A0638F2939BF1371D24FFA4B8A6F98510042FDE9C896DB591D7174227F2A447350F9B1C9F93E7NC17D" TargetMode="External"/><Relationship Id="rId38" Type="http://schemas.openxmlformats.org/officeDocument/2006/relationships/hyperlink" Target="consultantplus://offline/ref=68226D0F886F3FDD6214863C29ECFDA23D3A0638FB949BF1371D24FFA4B8A6F98510042FDE9C896EB891D7174227F2A447350F9B1C9F93E7NC17D" TargetMode="External"/><Relationship Id="rId46" Type="http://schemas.openxmlformats.org/officeDocument/2006/relationships/hyperlink" Target="consultantplus://offline/ref=68226D0F886F3FDD6214863C29ECFDA23D3A0539F8959BF1371D24FFA4B8A6F98510042FDE9C896DB191D7174227F2A447350F9B1C9F93E7NC17D" TargetMode="External"/><Relationship Id="rId59" Type="http://schemas.openxmlformats.org/officeDocument/2006/relationships/hyperlink" Target="consultantplus://offline/ref=68226D0F886F3FDD6214863C29ECFDA23D3A0539FD9A9BF1371D24FFA4B8A6F98510042FDE9C896FB891D7174227F2A447350F9B1C9F93E7NC17D" TargetMode="External"/><Relationship Id="rId67" Type="http://schemas.openxmlformats.org/officeDocument/2006/relationships/hyperlink" Target="consultantplus://offline/ref=68226D0F886F3FDD6214863C29ECFDA23A3A053BFD98C6FB3F4428FDA3B7F9FC8201042FD982896EAF988344N014D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68226D0F886F3FDD6214863C29ECFDA23B3A0132FC9B9BF1371D24FFA4B8A6F997105C23DF9B976CB384814604N710D" TargetMode="External"/><Relationship Id="rId41" Type="http://schemas.openxmlformats.org/officeDocument/2006/relationships/hyperlink" Target="consultantplus://offline/ref=68226D0F886F3FDD6214863C29ECFDA23D3A0638FB949BF1371D24FFA4B8A6F997105C23DF9B976CB384814604N710D" TargetMode="External"/><Relationship Id="rId54" Type="http://schemas.openxmlformats.org/officeDocument/2006/relationships/hyperlink" Target="consultantplus://offline/ref=68226D0F886F3FDD6214863C29ECFDA23A3D063DFC969BF1371D24FFA4B8A6F997105C23DF9B976CB384814604N710D" TargetMode="External"/><Relationship Id="rId62" Type="http://schemas.openxmlformats.org/officeDocument/2006/relationships/hyperlink" Target="consultantplus://offline/ref=68226D0F886F3FDD6214863C29ECFDA23D3A0538FF939BF1371D24FFA4B8A6F98510042FDE9C896DB691D7174227F2A447350F9B1C9F93E7NC17D" TargetMode="External"/><Relationship Id="rId70" Type="http://schemas.openxmlformats.org/officeDocument/2006/relationships/hyperlink" Target="consultantplus://offline/ref=68226D0F886F3FDD6214863C29ECFDA23D3A023BFB959BF1371D24FFA4B8A6F997105C23DF9B976CB384814604N710D" TargetMode="External"/><Relationship Id="rId75" Type="http://schemas.openxmlformats.org/officeDocument/2006/relationships/hyperlink" Target="consultantplus://offline/ref=68226D0F886F3FDD6214863C29ECFDA23D3A0C3CFB919BF1371D24FFA4B8A6F98510042FDE9C896DB291D7174227F2A447350F9B1C9F93E7NC17D" TargetMode="External"/><Relationship Id="rId83" Type="http://schemas.openxmlformats.org/officeDocument/2006/relationships/hyperlink" Target="consultantplus://offline/ref=68226D0F886F3FDD6214863C29ECFDA23A330233F8919BF1371D24FFA4B8A6F98510042FDE9C896DB891D7174227F2A447350F9B1C9F93E7NC17D" TargetMode="External"/><Relationship Id="rId88" Type="http://schemas.openxmlformats.org/officeDocument/2006/relationships/hyperlink" Target="consultantplus://offline/ref=68226D0F886F3FDD6214863C29ECFDA23A32013DFA969BF1371D24FFA4B8A6F98510042FDE9C896CB991D7174227F2A447350F9B1C9F93E7NC17D" TargetMode="External"/><Relationship Id="rId91" Type="http://schemas.openxmlformats.org/officeDocument/2006/relationships/hyperlink" Target="http://www.consultant.ru/document/cons_doc_LAW_369850/7bf8e97cf4088ecccd2ca5066e2c80d2f7dc431b/" TargetMode="External"/><Relationship Id="rId96" Type="http://schemas.openxmlformats.org/officeDocument/2006/relationships/hyperlink" Target="http://www.consultant.ru/document/cons_doc_LAW_369850/85069eeec6afe1089f0f846c03314d7c8b9b6226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26D0F886F3FDD6214863C29ECFDA23A320D3AF2919BF1371D24FFA4B8A6F997105C23DF9B976CB384814604N710D" TargetMode="External"/><Relationship Id="rId15" Type="http://schemas.openxmlformats.org/officeDocument/2006/relationships/hyperlink" Target="consultantplus://offline/ref=68226D0F886F3FDD6214863C29ECFDA23A320D3BFA919BF1371D24FFA4B8A6F997105C23DF9B976CB384814604N710D" TargetMode="External"/><Relationship Id="rId23" Type="http://schemas.openxmlformats.org/officeDocument/2006/relationships/hyperlink" Target="consultantplus://offline/ref=68226D0F886F3FDD6214863C29ECFDA23D3A0732FA929BF1371D24FFA4B8A6F98510042FDE9C8B6FB191D7174227F2A447350F9B1C9F93E7NC17D" TargetMode="External"/><Relationship Id="rId28" Type="http://schemas.openxmlformats.org/officeDocument/2006/relationships/hyperlink" Target="consultantplus://offline/ref=68226D0F886F3FDD6214863C29ECFDA23D3A0738F9979BF1371D24FFA4B8A6F997105C23DF9B976CB384814604N710D" TargetMode="External"/><Relationship Id="rId36" Type="http://schemas.openxmlformats.org/officeDocument/2006/relationships/hyperlink" Target="consultantplus://offline/ref=68226D0F886F3FDD6214863C29ECFDA23D3A0638FB949BF1371D24FFA4B8A6F98510042FDE9C896DB191D7174227F2A447350F9B1C9F93E7NC17D" TargetMode="External"/><Relationship Id="rId49" Type="http://schemas.openxmlformats.org/officeDocument/2006/relationships/hyperlink" Target="consultantplus://offline/ref=68226D0F886F3FDD6214863C29ECFDA23D3A0C39FF939BF1371D24FFA4B8A6F997105C23DF9B976CB384814604N710D" TargetMode="External"/><Relationship Id="rId57" Type="http://schemas.openxmlformats.org/officeDocument/2006/relationships/hyperlink" Target="consultantplus://offline/ref=68226D0F886F3FDD6214863C29ECFDA23D3A0539FD9A9BF1371D24FFA4B8A6F98510042FDE9C896DB191D7174227F2A447350F9B1C9F93E7NC17D" TargetMode="External"/><Relationship Id="rId10" Type="http://schemas.openxmlformats.org/officeDocument/2006/relationships/hyperlink" Target="consultantplus://offline/ref=68226D0F886F3FDD6214863C29ECFDA23A320D3AF2919BF1371D24FFA4B8A6F98510042CD8948C67E5CBC7130B73F8BB4029119B029FN911D" TargetMode="External"/><Relationship Id="rId31" Type="http://schemas.openxmlformats.org/officeDocument/2006/relationships/hyperlink" Target="consultantplus://offline/ref=68226D0F886F3FDD6214863C29ECFDA2383C023DFC979BF1371D24FFA4B8A6F997105C23DF9B976CB384814604N710D" TargetMode="External"/><Relationship Id="rId44" Type="http://schemas.openxmlformats.org/officeDocument/2006/relationships/hyperlink" Target="consultantplus://offline/ref=68226D0F886F3FDD6214863C29ECFDA23A33063BF3959BF1371D24FFA4B8A6F98510042FDE97DD3DF5CF8E47016CFFA75E290F9BN010D" TargetMode="External"/><Relationship Id="rId52" Type="http://schemas.openxmlformats.org/officeDocument/2006/relationships/hyperlink" Target="consultantplus://offline/ref=68226D0F886F3FDD6214863C29ECFDA23A330533F8929BF1371D24FFA4B8A6F98510042FDE9C8968B391D7174227F2A447350F9B1C9F93E7NC17D" TargetMode="External"/><Relationship Id="rId60" Type="http://schemas.openxmlformats.org/officeDocument/2006/relationships/hyperlink" Target="consultantplus://offline/ref=68226D0F886F3FDD6214863C29ECFDA23D3A0539FD9A9BF1371D24FFA4B8A6F997105C23DF9B976CB384814604N710D" TargetMode="External"/><Relationship Id="rId65" Type="http://schemas.openxmlformats.org/officeDocument/2006/relationships/hyperlink" Target="consultantplus://offline/ref=68226D0F886F3FDD6214863C29ECFDA23D3A0732FA909BF1371D24FFA4B8A6F997105C23DF9B976CB384814604N710D" TargetMode="External"/><Relationship Id="rId73" Type="http://schemas.openxmlformats.org/officeDocument/2006/relationships/hyperlink" Target="consultantplus://offline/ref=68226D0F886F3FDD6214863C29ECFDA23D3A0338FC919BF1371D24FFA4B8A6F98510042FDE9C896AB791D7174227F2A447350F9B1C9F93E7NC17D" TargetMode="External"/><Relationship Id="rId78" Type="http://schemas.openxmlformats.org/officeDocument/2006/relationships/hyperlink" Target="consultantplus://offline/ref=68226D0F886F3FDD6214863C29ECFDA23D3A0C3CFB919BF1371D24FFA4B8A6F997105C23DF9B976CB384814604N710D" TargetMode="External"/><Relationship Id="rId81" Type="http://schemas.openxmlformats.org/officeDocument/2006/relationships/hyperlink" Target="consultantplus://offline/ref=68226D0F886F3FDD6214863C29ECFDA23D3A0C3CFB909BF1371D24FFA4B8A6F997105C23DF9B976CB384814604N710D" TargetMode="External"/><Relationship Id="rId86" Type="http://schemas.openxmlformats.org/officeDocument/2006/relationships/hyperlink" Target="consultantplus://offline/ref=68226D0F886F3FDD6214863C29ECFDA23A330132FB949BF1371D24FFA4B8A6F98510042CD5C8D828E49782411872FDBB422B0DN91BD" TargetMode="External"/><Relationship Id="rId94" Type="http://schemas.openxmlformats.org/officeDocument/2006/relationships/hyperlink" Target="http://www.consultant.ru/document/cons_doc_LAW_369850/1a4e9d5f17719180532b9315aa91ad1d4711b920/" TargetMode="External"/><Relationship Id="rId99" Type="http://schemas.openxmlformats.org/officeDocument/2006/relationships/hyperlink" Target="http://www.consultant.ru/document/cons_doc_LAW_369850/dae7635dc17b7296f0f57172951fe5873a9ffcd3/" TargetMode="External"/><Relationship Id="rId101" Type="http://schemas.openxmlformats.org/officeDocument/2006/relationships/hyperlink" Target="http://www.consultant.ru/document/cons_doc_LAW_369850/f32fb336515933be88dc54e930cb28e2f590650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26D0F886F3FDD6214863C29ECFDA23A320D3AF2919BF1371D24FFA4B8A6F98510042CD8948967E5CBC7130B73F8BB4029119B029FN911D" TargetMode="External"/><Relationship Id="rId13" Type="http://schemas.openxmlformats.org/officeDocument/2006/relationships/hyperlink" Target="consultantplus://offline/ref=68226D0F886F3FDD6214863C29ECFDA23A320D3AF2919BF1371D24FFA4B8A6F98510042CD99D8A67E5CBC7130B73F8BB4029119B029FN911D" TargetMode="External"/><Relationship Id="rId18" Type="http://schemas.openxmlformats.org/officeDocument/2006/relationships/hyperlink" Target="consultantplus://offline/ref=68226D0F886F3FDD6214863C29ECFDA23D3A0738F9969BF1371D24FFA4B8A6F98510042FDE9C8B68B191D7174227F2A447350F9B1C9F93E7NC17D" TargetMode="External"/><Relationship Id="rId39" Type="http://schemas.openxmlformats.org/officeDocument/2006/relationships/hyperlink" Target="consultantplus://offline/ref=68226D0F886F3FDD6214863C29ECFDA23D3A0638FB949BF1371D24FFA4B8A6F98510042FDE9C8968B291D7174227F2A447350F9B1C9F93E7NC17D" TargetMode="External"/><Relationship Id="rId34" Type="http://schemas.openxmlformats.org/officeDocument/2006/relationships/hyperlink" Target="consultantplus://offline/ref=68226D0F886F3FDD6214863C29ECFDA2383C003CFA9B9BF1371D24FFA4B8A6F997105C23DF9B976CB384814604N710D" TargetMode="External"/><Relationship Id="rId50" Type="http://schemas.openxmlformats.org/officeDocument/2006/relationships/hyperlink" Target="consultantplus://offline/ref=68226D0F886F3FDD6214863C29ECFDA23D3A0539F8959BF1371D24FFA4B8A6F997105C23DF9B976CB384814604N710D" TargetMode="External"/><Relationship Id="rId55" Type="http://schemas.openxmlformats.org/officeDocument/2006/relationships/hyperlink" Target="consultantplus://offline/ref=68226D0F886F3FDD6214863C29ECFDA23B3B063FF8939BF1371D24FFA4B8A6F997105C23DF9B976CB384814604N710D" TargetMode="External"/><Relationship Id="rId76" Type="http://schemas.openxmlformats.org/officeDocument/2006/relationships/hyperlink" Target="consultantplus://offline/ref=68226D0F886F3FDD6214863C29ECFDA2383F0D3BF2969BF1371D24FFA4B8A6F997105C23DF9B976CB384814604N710D" TargetMode="External"/><Relationship Id="rId97" Type="http://schemas.openxmlformats.org/officeDocument/2006/relationships/hyperlink" Target="http://www.consultant.ru/document/cons_doc_LAW_369850/9a214dbd44c27aacfd31ac68a8af352a9532ed50/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68226D0F886F3FDD6214863C29ECFDA23A320D3AF2919BF1371D24FFA4B8A6F98510042CDB988967E5CBC7130B73F8BB4029119B029FN911D" TargetMode="External"/><Relationship Id="rId71" Type="http://schemas.openxmlformats.org/officeDocument/2006/relationships/hyperlink" Target="consultantplus://offline/ref=68226D0F886F3FDD6214863C29ECFDA23D3A0338FC919BF1371D24FFA4B8A6F98510042FDE9C896DB191D7174227F2A447350F9B1C9F93E7NC17D" TargetMode="External"/><Relationship Id="rId92" Type="http://schemas.openxmlformats.org/officeDocument/2006/relationships/hyperlink" Target="http://www.consultant.ru/document/cons_doc_LAW_369850/d7896774ba5264d258ed43790f8f96a76f1e0e37/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8226D0F886F3FDD6214863C29ECFDA23D3A063BF9929BF1371D24FFA4B8A6F98510042FDE9C896DB091D7174227F2A447350F9B1C9F93E7NC17D" TargetMode="External"/><Relationship Id="rId24" Type="http://schemas.openxmlformats.org/officeDocument/2006/relationships/hyperlink" Target="consultantplus://offline/ref=68226D0F886F3FDD6214863C29ECFDA23D3A0732FA929BF1371D24FFA4B8A6F98510042FDE9C8B68B391D7174227F2A447350F9B1C9F93E7NC17D" TargetMode="External"/><Relationship Id="rId40" Type="http://schemas.openxmlformats.org/officeDocument/2006/relationships/hyperlink" Target="consultantplus://offline/ref=68226D0F886F3FDD6214863C29ECFDA23D3A0638FB949BF1371D24FFA4B8A6F98510042FDE9C8968B791D7174227F2A447350F9B1C9F93E7NC17D" TargetMode="External"/><Relationship Id="rId45" Type="http://schemas.openxmlformats.org/officeDocument/2006/relationships/hyperlink" Target="consultantplus://offline/ref=68226D0F886F3FDD6214863C29ECFDA23A33063BF8939BF1371D24FFA4B8A6F997105C23DF9B976CB384814604N710D" TargetMode="External"/><Relationship Id="rId66" Type="http://schemas.openxmlformats.org/officeDocument/2006/relationships/hyperlink" Target="consultantplus://offline/ref=68226D0F886F3FDD6214863C29ECFDA23D3A013AF29B9BF1371D24FFA4B8A6F98510042FDE9C896DB191D7174227F2A447350F9B1C9F93E7NC17D" TargetMode="External"/><Relationship Id="rId87" Type="http://schemas.openxmlformats.org/officeDocument/2006/relationships/hyperlink" Target="consultantplus://offline/ref=68226D0F886F3FDD6214863C29ECFDA23D3A0638FB959BF1371D24FFA4B8A6F997105C23DF9B976CB384814604N710D" TargetMode="External"/><Relationship Id="rId61" Type="http://schemas.openxmlformats.org/officeDocument/2006/relationships/hyperlink" Target="consultantplus://offline/ref=68226D0F886F3FDD6214863C29ECFDA23D3A0538FF939BF1371D24FFA4B8A6F98510042FDE9C896DB191D7174227F2A447350F9B1C9F93E7NC17D" TargetMode="External"/><Relationship Id="rId82" Type="http://schemas.openxmlformats.org/officeDocument/2006/relationships/hyperlink" Target="consultantplus://offline/ref=68226D0F886F3FDD6214863C29ECFDA23B3A0D3BFD9A9BF1371D24FFA4B8A6F997105C23DF9B976CB384814604N710D" TargetMode="External"/><Relationship Id="rId19" Type="http://schemas.openxmlformats.org/officeDocument/2006/relationships/hyperlink" Target="consultantplus://offline/ref=68226D0F886F3FDD6214863C29ECFDA23D3A0738F9969BF1371D24FFA4B8A6F98510042FDE9E8969B291D7174227F2A447350F9B1C9F93E7NC17D" TargetMode="External"/><Relationship Id="rId14" Type="http://schemas.openxmlformats.org/officeDocument/2006/relationships/hyperlink" Target="consultantplus://offline/ref=68226D0F886F3FDD6214863C29ECFDA23A320D3AF2919BF1371D24FFA4B8A6F98510042CD99E8D67E5CBC7130B73F8BB4029119B029FN911D" TargetMode="External"/><Relationship Id="rId30" Type="http://schemas.openxmlformats.org/officeDocument/2006/relationships/hyperlink" Target="consultantplus://offline/ref=68226D0F886F3FDD6214863C29ECFDA23A320D3BFA919BF1371D24FFA4B8A6F997105C23DF9B976CB384814604N710D" TargetMode="External"/><Relationship Id="rId35" Type="http://schemas.openxmlformats.org/officeDocument/2006/relationships/hyperlink" Target="consultantplus://offline/ref=68226D0F886F3FDD6214863C29ECFDA23D3A0638F2939BF1371D24FFA4B8A6F997105C23DF9B976CB384814604N710D" TargetMode="External"/><Relationship Id="rId56" Type="http://schemas.openxmlformats.org/officeDocument/2006/relationships/hyperlink" Target="consultantplus://offline/ref=68226D0F886F3FDD6214863C29ECFDA23A330533F8929BF1371D24FFA4B8A6F997105C23DF9B976CB384814604N710D" TargetMode="External"/><Relationship Id="rId77" Type="http://schemas.openxmlformats.org/officeDocument/2006/relationships/hyperlink" Target="consultantplus://offline/ref=68226D0F886F3FDD6214863C29ECFDA2383F0D3BF3979BF1371D24FFA4B8A6F997105C23DF9B976CB384814604N710D" TargetMode="External"/><Relationship Id="rId100" Type="http://schemas.openxmlformats.org/officeDocument/2006/relationships/hyperlink" Target="http://www.consultant.ru/document/cons_doc_LAW_369850/03d84c010519afb1527ca164f29b7b6196d924ac/" TargetMode="External"/><Relationship Id="rId8" Type="http://schemas.openxmlformats.org/officeDocument/2006/relationships/hyperlink" Target="consultantplus://offline/ref=68226D0F886F3FDD6214863C29ECFDA23A320D3AF2919BF1371D24FFA4B8A6F98510042CD8988967E5CBC7130B73F8BB4029119B029FN911D" TargetMode="External"/><Relationship Id="rId51" Type="http://schemas.openxmlformats.org/officeDocument/2006/relationships/hyperlink" Target="consultantplus://offline/ref=68226D0F886F3FDD6214863C29ECFDA23A330533F8929BF1371D24FFA4B8A6F98510042FDE9C896DB991D7174227F2A447350F9B1C9F93E7NC17D" TargetMode="External"/><Relationship Id="rId72" Type="http://schemas.openxmlformats.org/officeDocument/2006/relationships/hyperlink" Target="consultantplus://offline/ref=68226D0F886F3FDD6214863C29ECFDA23D3A0338FC919BF1371D24FFA4B8A6F98510042FDE9C8969B291D7174227F2A447350F9B1C9F93E7NC17D" TargetMode="External"/><Relationship Id="rId93" Type="http://schemas.openxmlformats.org/officeDocument/2006/relationships/hyperlink" Target="http://www.consultant.ru/document/cons_doc_LAW_369850/9ba103075220eac2486ca37e9493bfc81f3de489/" TargetMode="External"/><Relationship Id="rId98" Type="http://schemas.openxmlformats.org/officeDocument/2006/relationships/hyperlink" Target="http://www.consultant.ru/document/cons_doc_LAW_369850/5001ccf84af82df6ff5baab674cd3238854aebaa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8200</Words>
  <Characters>46744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4</cp:revision>
  <dcterms:created xsi:type="dcterms:W3CDTF">2022-02-17T02:16:00Z</dcterms:created>
  <dcterms:modified xsi:type="dcterms:W3CDTF">2022-02-17T03:55:00Z</dcterms:modified>
</cp:coreProperties>
</file>