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28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32"/>
          <w:lang w:eastAsia="ar-SA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bookmarkStart w:id="0" w:name="__DdeLink__222_663926810"/>
      <w:r>
        <w:rPr>
          <w:sz w:val="24"/>
          <w:szCs w:val="24"/>
          <w:lang w:eastAsia="ar-SA"/>
        </w:rPr>
        <w:t>от «08»  декабря 2017г.</w:t>
        <w:tab/>
        <w:tab/>
        <w:tab/>
        <w:tab/>
        <w:tab/>
        <w:t xml:space="preserve">                                                  № 578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/>
        <w:jc w:val="both"/>
        <w:rPr>
          <w:bCs/>
          <w:sz w:val="28"/>
          <w:szCs w:val="28"/>
        </w:rPr>
      </w:pPr>
      <w:bookmarkStart w:id="1" w:name="__DdeLink__222_663926810"/>
      <w:bookmarkEnd w:id="1"/>
      <w:r>
        <w:rPr>
          <w:bCs/>
          <w:sz w:val="28"/>
          <w:szCs w:val="28"/>
        </w:rPr>
        <w:t>О формировании рабочей группы по вопросам взаимодействия с региональным оператором по вывозу и переработке твердых коммунальных отходов на территории  Иркутского районного муниципального образования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</w:t>
      </w:r>
    </w:p>
    <w:p>
      <w:pPr>
        <w:pStyle w:val="Normal"/>
        <w:widowControl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 </w:t>
      </w:r>
      <w:r>
        <w:rPr>
          <w:rFonts w:eastAsia="Calibri" w:eastAsiaTheme="minorHAnsi"/>
          <w:sz w:val="28"/>
          <w:szCs w:val="28"/>
          <w:lang w:eastAsia="en-US"/>
        </w:rPr>
        <w:t xml:space="preserve">целях обеспечения общественного контроля </w:t>
      </w:r>
      <w:r>
        <w:rPr>
          <w:bCs/>
          <w:sz w:val="28"/>
          <w:szCs w:val="28"/>
        </w:rPr>
        <w:t>по вопросам взаимодействия с региональным оператором по вывозу и переработке твердых коммунальных отходов на территории  Иркутского районного муниципального образования</w:t>
      </w:r>
      <w:r>
        <w:rPr>
          <w:rFonts w:eastAsia="Calibri" w:eastAsiaTheme="minorHAnsi"/>
          <w:sz w:val="28"/>
          <w:szCs w:val="28"/>
          <w:lang w:eastAsia="en-US"/>
        </w:rPr>
        <w:t>, в соответствии с пунктом 14 пункта 1 статьи 15 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постановлением Правительства Иркутской области от 12.12.2016 № 780-пп «Об утверждении Порядка сбора твердых коммунальных отходов (в том числе их раздельного сбора) на территории Иркутской области»,   </w:t>
      </w:r>
      <w:hyperlink r:id="rId3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статьями 37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</w:t>
      </w:r>
      <w:hyperlink r:id="rId4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38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</w:t>
      </w:r>
      <w:hyperlink r:id="rId5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45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</w:t>
      </w:r>
      <w:hyperlink r:id="rId6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81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Устава Иркутского</w:t>
      </w:r>
      <w:r>
        <w:rPr>
          <w:sz w:val="28"/>
          <w:szCs w:val="28"/>
        </w:rPr>
        <w:t xml:space="preserve"> районного муниципального образования, администрация </w:t>
      </w:r>
      <w:r>
        <w:rPr>
          <w:spacing w:val="2"/>
          <w:sz w:val="28"/>
          <w:szCs w:val="28"/>
        </w:rPr>
        <w:t>Иркутского районного муниципального образования</w:t>
      </w:r>
    </w:p>
    <w:p>
      <w:pPr>
        <w:pStyle w:val="Normal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Утвердить состав рабочей группы </w:t>
      </w:r>
      <w:r>
        <w:rPr>
          <w:b w:val="false"/>
          <w:bCs w:val="false"/>
          <w:sz w:val="28"/>
          <w:szCs w:val="28"/>
        </w:rPr>
        <w:t xml:space="preserve">по вопросам взаимодействия с региональным оператором по вывозу и переработке твердых коммунальных отходов на территории </w:t>
      </w:r>
      <w:r>
        <w:rPr>
          <w:b w:val="false"/>
          <w:sz w:val="28"/>
          <w:szCs w:val="28"/>
        </w:rPr>
        <w:t xml:space="preserve"> Иркутского районного муниципального образования согласно приложению 1 к настоящему постановлению.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7">
        <w:r>
          <w:rPr>
            <w:rStyle w:val="Style15"/>
            <w:rFonts w:cs="Times New Roman" w:ascii="Times New Roman" w:hAnsi="Times New Roman"/>
            <w:sz w:val="28"/>
            <w:szCs w:val="28"/>
          </w:rPr>
          <w:t>www.irkraion.ru</w:t>
        </w:r>
      </w:hyperlink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Контроль за исполнением настоящего постановления возложить на заместителя Мэра Иркутского районного муниципального образования.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И.о. Мэра                         </w:t>
        <w:tab/>
        <w:tab/>
        <w:tab/>
        <w:tab/>
        <w:tab/>
        <w:t xml:space="preserve">                           И.В.Жук</w:t>
      </w:r>
    </w:p>
    <w:p>
      <w:pPr>
        <w:pStyle w:val="Normal"/>
        <w:tabs>
          <w:tab w:val="left" w:pos="709" w:leader="none"/>
          <w:tab w:val="left" w:pos="7095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09" w:leader="none"/>
          <w:tab w:val="left" w:pos="7095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09" w:leader="none"/>
          <w:tab w:val="left" w:pos="7095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left="5103" w:hanging="0"/>
        <w:rPr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Приложение 1 </w:t>
        <w:br/>
        <w:t xml:space="preserve">к постановлению администрации </w:t>
        <w:br/>
        <w:t xml:space="preserve">Иркутского районного </w:t>
        <w:br/>
        <w:t xml:space="preserve">муниципального образования </w:t>
      </w:r>
    </w:p>
    <w:p>
      <w:pPr>
        <w:pStyle w:val="Normal"/>
        <w:shd w:val="clear" w:color="auto" w:fill="FFFFFF"/>
        <w:tabs>
          <w:tab w:val="left" w:pos="5700" w:leader="none"/>
        </w:tabs>
        <w:ind w:left="5103" w:hanging="0"/>
        <w:rPr>
          <w:b/>
          <w:b/>
          <w:sz w:val="27"/>
          <w:szCs w:val="27"/>
        </w:rPr>
      </w:pPr>
      <w:r>
        <w:rPr>
          <w:sz w:val="27"/>
          <w:szCs w:val="27"/>
        </w:rPr>
        <w:t>от ____________ № ______</w:t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bCs/>
          <w:sz w:val="27"/>
          <w:szCs w:val="27"/>
        </w:rPr>
      </w:pPr>
      <w:r>
        <w:rPr>
          <w:sz w:val="27"/>
          <w:szCs w:val="27"/>
        </w:rPr>
        <w:t xml:space="preserve">Состав рабочей группы по вопросам </w:t>
      </w:r>
      <w:r>
        <w:rPr>
          <w:bCs/>
          <w:sz w:val="27"/>
          <w:szCs w:val="27"/>
        </w:rPr>
        <w:t>взаимодействия с региональным оператором по вывозу и переработке твердых коммунальных отходов на территории  Иркутского районного муниципального образования</w:t>
      </w:r>
    </w:p>
    <w:p>
      <w:pPr>
        <w:sectPr>
          <w:type w:val="nextPage"/>
          <w:pgSz w:w="11906" w:h="16838"/>
          <w:pgMar w:left="1701" w:right="851" w:header="0" w:top="567" w:footer="0" w:bottom="567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right="284" w:hanging="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рабочей группы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рабочей группы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Секретарь рабочей группы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Члены рабочей группы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Мэра Иркутского районного муниципального образования.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 Мэра Иркутского районного муниципального образования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Главный специалист по вопросам природопользования ТБО и ЖБО отдела охраны окружающей среды, экологической безопасности и дорожной деятельности Комитета по </w:t>
      </w:r>
      <w:r>
        <w:rPr>
          <w:sz w:val="27"/>
          <w:szCs w:val="27"/>
          <w:lang w:eastAsia="ar-SA"/>
        </w:rPr>
        <w:t>управлению муниципальным имуществом и жизнеобеспечению администрации Иркутского районного муниципального образования (далее - КУМИ Иркутского района).</w:t>
      </w:r>
    </w:p>
    <w:p>
      <w:pPr>
        <w:pStyle w:val="Normal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  <w:r>
        <w:rPr>
          <w:sz w:val="27"/>
          <w:szCs w:val="27"/>
          <w:lang w:eastAsia="ar-SA"/>
        </w:rPr>
        <w:t>КУМИ Иркутского района;</w:t>
      </w:r>
    </w:p>
    <w:p>
      <w:pPr>
        <w:pStyle w:val="Normal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Заместитель председателя </w:t>
      </w:r>
      <w:r>
        <w:rPr>
          <w:sz w:val="27"/>
          <w:szCs w:val="27"/>
          <w:lang w:eastAsia="ar-SA"/>
        </w:rPr>
        <w:t>КУМИ Иркутского района;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Представитель Думы Иркутского районного муниципального образования (по согласованию);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охраны окружающей среды, экологической безопасности и дорожной деятельности;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Глава Гороховского муниципального образования;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Глава Ревякинского муниципального образования;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Глава Карлукского муниципального образования;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Глава Молодежного муниципального образования;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Представитель администрации Ушаковского муниципального образования (по согласованию); 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Представитель администрации Хомутовского</w:t>
        <w:tab/>
        <w:t xml:space="preserve">  муниципального образования (по согласованию);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Представитель администрации Марковского муниципального образования (по согласованию).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sectPr>
          <w:type w:val="continuous"/>
          <w:pgSz w:w="11906" w:h="16838"/>
          <w:pgMar w:left="1701" w:right="851" w:header="0" w:top="567" w:footer="0" w:bottom="567" w:gutter="0"/>
          <w:cols w:num="2" w:equalWidth="false" w:sep="false">
            <w:col w:w="3261" w:space="142"/>
            <w:col w:w="5950"/>
          </w:cols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Заместитель Мэра                                                                                        Д.В. Горин</w:t>
      </w:r>
    </w:p>
    <w:p>
      <w:pPr>
        <w:pStyle w:val="3"/>
        <w:shd w:val="clear" w:color="auto" w:fill="FFFFFF"/>
        <w:tabs>
          <w:tab w:val="left" w:pos="1155" w:leader="none"/>
          <w:tab w:val="center" w:pos="5032" w:leader="none"/>
        </w:tabs>
        <w:spacing w:before="280" w:after="280"/>
        <w:ind w:firstLine="709"/>
        <w:rPr/>
      </w:pPr>
      <w:r>
        <w:rPr>
          <w:sz w:val="28"/>
          <w:szCs w:val="28"/>
        </w:rPr>
        <w:tab/>
      </w:r>
    </w:p>
    <w:p>
      <w:pPr>
        <w:sectPr>
          <w:type w:val="continuous"/>
          <w:pgSz w:w="11906" w:h="16838"/>
          <w:pgMar w:left="1701" w:right="851" w:header="0" w:top="567" w:footer="0" w:bottom="567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16c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816c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c816c8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816c8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816c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816c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semiHidden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7374c9"/>
    <w:rPr>
      <w:b/>
      <w:bCs/>
    </w:rPr>
  </w:style>
  <w:style w:type="character" w:styleId="Style15">
    <w:name w:val="Интернет-ссылка"/>
    <w:basedOn w:val="DefaultParagraphFont"/>
    <w:uiPriority w:val="99"/>
    <w:semiHidden/>
    <w:unhideWhenUsed/>
    <w:rsid w:val="00fc1364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16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6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ru-RU" w:eastAsia="en-US" w:bidi="ar-SA"/>
    </w:rPr>
  </w:style>
  <w:style w:type="paragraph" w:styleId="Style21">
    <w:name w:val="Header"/>
    <w:basedOn w:val="Normal"/>
    <w:link w:val="a8"/>
    <w:uiPriority w:val="99"/>
    <w:semiHidden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semiHidden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3490f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a36316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a3631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16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E128EC5DA503C79B30C1811FBEB7336EC68A30DD77DBCC910522B29D0214CC611E6282062C85C755038FBvCyDA" TargetMode="External"/><Relationship Id="rId4" Type="http://schemas.openxmlformats.org/officeDocument/2006/relationships/hyperlink" Target="consultantplus://offline/ref=EE128EC5DA503C79B30C1811FBEB7336EC68A30DD77DBCC910522B29D0214CC611E6282062C85C755038FCvCyDA" TargetMode="External"/><Relationship Id="rId5" Type="http://schemas.openxmlformats.org/officeDocument/2006/relationships/hyperlink" Target="consultantplus://offline/ref=EE128EC5DA503C79B30C1811FBEB7336EC68A30DD77DBCC910522B29D0214CC611E6282062C85C75503FFAvCy0A" TargetMode="External"/><Relationship Id="rId6" Type="http://schemas.openxmlformats.org/officeDocument/2006/relationships/hyperlink" Target="consultantplus://offline/ref=EE128EC5DA503C79B30C1811FBEB7336EC68A30DD77DBCC910522B29D0214CC611E6282062C85C75503CF8vCy0A" TargetMode="External"/><Relationship Id="rId7" Type="http://schemas.openxmlformats.org/officeDocument/2006/relationships/hyperlink" Target="http://www.irkraion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A54F-E358-4C82-BC6A-E48A821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LibreOffice/5.3.5.2$Linux_X86_64 LibreOffice_project/30m0$Build-2</Application>
  <Pages>2</Pages>
  <Words>362</Words>
  <Characters>2958</Characters>
  <CharactersWithSpaces>3567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2017-11-29T02:19:00Z</dcterms:created>
  <dc:creator>bogoduhovamo</dc:creator>
  <dc:description/>
  <dc:language>ru-RU</dc:language>
  <cp:lastModifiedBy>Константин Анатольевич К.</cp:lastModifiedBy>
  <cp:lastPrinted>2017-12-06T06:56:00Z</cp:lastPrinted>
  <dcterms:modified xsi:type="dcterms:W3CDTF">2017-12-08T13:05:32Z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